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356B" w14:textId="0A1B67A1" w:rsidR="001F0EE9" w:rsidRPr="000C0071" w:rsidRDefault="000C0071" w:rsidP="000C0071">
      <w:pPr>
        <w:jc w:val="center"/>
        <w:rPr>
          <w:rFonts w:cstheme="minorHAnsi"/>
          <w:color w:val="000000" w:themeColor="text1"/>
          <w:lang w:val="es-ES"/>
        </w:rPr>
      </w:pPr>
      <w:r w:rsidRPr="000C0071">
        <w:rPr>
          <w:rFonts w:ascii="Arial" w:hAnsi="Arial" w:cs="Arial"/>
          <w:b/>
          <w:bCs/>
          <w:color w:val="007DC5"/>
          <w:sz w:val="28"/>
          <w:szCs w:val="28"/>
          <w:lang w:val="es-ES"/>
        </w:rPr>
        <w:t xml:space="preserve">La red </w:t>
      </w:r>
      <w:proofErr w:type="spellStart"/>
      <w:r w:rsidRPr="000C0071">
        <w:rPr>
          <w:rFonts w:ascii="Arial" w:hAnsi="Arial" w:cs="Arial"/>
          <w:b/>
          <w:bCs/>
          <w:color w:val="007DC5"/>
          <w:sz w:val="28"/>
          <w:szCs w:val="28"/>
          <w:lang w:val="es-ES"/>
        </w:rPr>
        <w:t>Topnet</w:t>
      </w:r>
      <w:proofErr w:type="spellEnd"/>
      <w:r w:rsidRPr="000C0071">
        <w:rPr>
          <w:rFonts w:ascii="Arial" w:hAnsi="Arial" w:cs="Arial"/>
          <w:b/>
          <w:bCs/>
          <w:color w:val="007DC5"/>
          <w:sz w:val="28"/>
          <w:szCs w:val="28"/>
          <w:lang w:val="es-ES"/>
        </w:rPr>
        <w:t xml:space="preserve"> Live GNSS se amplía para dar respuesta a las crecientes demandas de digitalización</w:t>
      </w:r>
    </w:p>
    <w:p w14:paraId="7D1D8F6E" w14:textId="77777777" w:rsidR="007A62A1" w:rsidRPr="000C0071" w:rsidRDefault="007A62A1" w:rsidP="00FC40E0">
      <w:pPr>
        <w:rPr>
          <w:rFonts w:cs="Arial"/>
          <w:b/>
          <w:lang w:val="es-ES"/>
        </w:rPr>
      </w:pPr>
    </w:p>
    <w:p w14:paraId="73EBEA75" w14:textId="77777777" w:rsidR="000C0071" w:rsidRPr="000C0071" w:rsidRDefault="000C0071" w:rsidP="00FC40E0">
      <w:pPr>
        <w:rPr>
          <w:rFonts w:cs="Arial"/>
          <w:b/>
          <w:sz w:val="22"/>
          <w:szCs w:val="22"/>
          <w:lang w:val="es-ES"/>
        </w:rPr>
      </w:pPr>
    </w:p>
    <w:p w14:paraId="6D60FEAF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C0071">
        <w:rPr>
          <w:rStyle w:val="Emphasis"/>
          <w:rFonts w:ascii="Arial" w:hAnsi="Arial" w:cs="Arial"/>
          <w:color w:val="2D2D2D"/>
          <w:sz w:val="22"/>
          <w:szCs w:val="22"/>
          <w:lang w:val="es-ES"/>
        </w:rPr>
        <w:t xml:space="preserve">LIVERMORE, </w:t>
      </w:r>
      <w:proofErr w:type="spellStart"/>
      <w:r w:rsidRPr="000C0071">
        <w:rPr>
          <w:rStyle w:val="Emphasis"/>
          <w:rFonts w:ascii="Arial" w:hAnsi="Arial" w:cs="Arial"/>
          <w:color w:val="2D2D2D"/>
          <w:sz w:val="22"/>
          <w:szCs w:val="22"/>
          <w:lang w:val="es-ES"/>
        </w:rPr>
        <w:t>Calif</w:t>
      </w:r>
      <w:proofErr w:type="spellEnd"/>
      <w:r w:rsidRPr="000C0071">
        <w:rPr>
          <w:rStyle w:val="Emphasis"/>
          <w:rFonts w:ascii="Arial" w:hAnsi="Arial" w:cs="Arial"/>
          <w:color w:val="2D2D2D"/>
          <w:sz w:val="22"/>
          <w:szCs w:val="22"/>
          <w:lang w:val="es-ES"/>
        </w:rPr>
        <w:t>. —</w:t>
      </w:r>
      <w:r w:rsidRPr="000C0071">
        <w:rPr>
          <w:rStyle w:val="apple-converted-space"/>
          <w:rFonts w:ascii="Arial" w:hAnsi="Arial" w:cs="Arial"/>
          <w:i/>
          <w:iCs/>
          <w:color w:val="2D2D2D"/>
          <w:sz w:val="22"/>
          <w:szCs w:val="22"/>
          <w:lang w:val="es-ES"/>
        </w:rPr>
        <w:t> </w:t>
      </w:r>
      <w:proofErr w:type="gramStart"/>
      <w:r w:rsidRPr="000C0071">
        <w:rPr>
          <w:rStyle w:val="Emphasis"/>
          <w:rFonts w:ascii="Arial" w:hAnsi="Arial" w:cs="Arial"/>
          <w:color w:val="2D2D2D"/>
          <w:sz w:val="22"/>
          <w:szCs w:val="22"/>
          <w:lang w:val="es-ES"/>
        </w:rPr>
        <w:t>Agosto</w:t>
      </w:r>
      <w:proofErr w:type="gramEnd"/>
      <w:r w:rsidRPr="000C0071">
        <w:rPr>
          <w:rStyle w:val="Emphasis"/>
          <w:rFonts w:ascii="Arial" w:hAnsi="Arial" w:cs="Arial"/>
          <w:color w:val="2D2D2D"/>
          <w:sz w:val="22"/>
          <w:szCs w:val="22"/>
          <w:lang w:val="es-ES"/>
        </w:rPr>
        <w:t xml:space="preserve"> 12, 2021</w:t>
      </w:r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 — Topcon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Positioning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Group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anuncia la ampliación de la red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Topnet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Live Global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Navigation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Satellite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Systems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(GNSS) de soluciones de corrección para respaldar los entornos de trabajo actuales. La red mundial recientemente ampliada ofrece más tipos de servicios de corrección y opciones de suscripción. Este crecimiento es el resultado de la creciente demanda de digitalización en diversos sectores, como construcción, topografía, control de maquinaria y agricultura.</w:t>
      </w:r>
    </w:p>
    <w:p w14:paraId="3D177AAF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Las opciones de servicio incluyen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Realpoint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, Real-Time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Kinematic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(RTK), 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Starpoint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, y Precise Point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Positioning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(PPP). Estos diferentes servicios presentan diversos métodos de entrega, cobertura y precisión fiable a nivel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centimétrico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. El modelo de suscripción permite a los clientes contratar servicios según sus necesidades. Además, está disponible el RTK respaldado por PPP,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Skybridge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, que garantiza conectividad en todo momento y productividad, incluso en el caso en el que el cliente abandone temporalmente la cobertura RTK.</w:t>
      </w:r>
    </w:p>
    <w:p w14:paraId="48CA4FD5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“La red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Topnet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Live RTK, creada hace más de una década, sigue ampliándose con 5.100 estaciones de referencia en todo el mundo, lo que supone un aumento del 14% en el último año”, comentó Ian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Stilgoe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, vicepresidente de Topcon. “Estamos creciendo en todo el mundo en áreas donde hay una creciente demanda de productividad y precisión mediante la digitalización. Nuestra prioridad es seguir expandiéndonos para apoyar más y mejor a nuestros clientes, para que siempre puedan beneficiarse de las mejores opciones a nivel mundial".</w:t>
      </w:r>
    </w:p>
    <w:p w14:paraId="14658A6E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Los fabricantes de equipos (OEM) que suministran productos y servicios en los sectores de la automoción, Internet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of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Things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(IOT), robótica autónoma y todos los sectores que requieren posicionamiento, navegación y guía también se benefician de la mayor solidez de la red. Los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OEMs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pueden comercializar sus productos con servicios de corrección integrados y preconfigurados para su uso inmediato por parte de los clientes, independientemente de su ubicación geográfica, con opciones flexibles de suscripción y licencia para adaptarse a sus necesidades específicas.</w:t>
      </w:r>
    </w:p>
    <w:p w14:paraId="167C4E98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Topnet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Live utiliza las 4 constelaciones GNSS: GPS, GLONASS, Galileo y 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BeiDou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. El cliente se beneficia de una precisión continua y de una cobertura de servicio permanente. Este servicio ofrece estas ventajas claras en los sectores que sirve:</w:t>
      </w:r>
    </w:p>
    <w:p w14:paraId="39DFCC46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C0071">
        <w:rPr>
          <w:rStyle w:val="Strong"/>
          <w:rFonts w:ascii="Arial" w:hAnsi="Arial" w:cs="Arial"/>
          <w:b w:val="0"/>
          <w:bCs w:val="0"/>
          <w:color w:val="2D2D2D"/>
          <w:sz w:val="22"/>
          <w:szCs w:val="22"/>
          <w:lang w:val="es-ES"/>
        </w:rPr>
        <w:t>Topografía, Construcción y Control de Maquinaria.</w:t>
      </w:r>
      <w:r w:rsidRPr="000C0071">
        <w:rPr>
          <w:rFonts w:ascii="Arial" w:hAnsi="Arial" w:cs="Arial"/>
          <w:color w:val="2D2D2D"/>
          <w:sz w:val="22"/>
          <w:szCs w:val="22"/>
          <w:lang w:val="es-ES"/>
        </w:rPr>
        <w:t> </w:t>
      </w:r>
      <w:proofErr w:type="spellStart"/>
      <w:r w:rsidRPr="000C0071">
        <w:rPr>
          <w:rFonts w:ascii="Arial" w:hAnsi="Arial" w:cs="Arial"/>
          <w:color w:val="2D2D2D"/>
          <w:sz w:val="22"/>
          <w:szCs w:val="22"/>
          <w:lang w:val="es-ES"/>
        </w:rPr>
        <w:t>Topnet</w:t>
      </w:r>
      <w:proofErr w:type="spellEnd"/>
      <w:r w:rsidRPr="000C0071">
        <w:rPr>
          <w:rFonts w:ascii="Arial" w:hAnsi="Arial" w:cs="Arial"/>
          <w:color w:val="2D2D2D"/>
          <w:sz w:val="22"/>
          <w:szCs w:val="22"/>
          <w:lang w:val="es-ES"/>
        </w:rPr>
        <w:t xml:space="preserve"> Live elimina la necesidad de tener que depender de estaciones base individuales, lo que aumenta enormemente la flexibilidad, la productividad y la seguridad, y contribuye a impulsar proyectos a gran escala con una precisión constante y fiable.</w:t>
      </w:r>
    </w:p>
    <w:p w14:paraId="59AC75F7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C0071">
        <w:rPr>
          <w:rStyle w:val="Strong"/>
          <w:rFonts w:ascii="Arial" w:hAnsi="Arial" w:cs="Arial"/>
          <w:b w:val="0"/>
          <w:bCs w:val="0"/>
          <w:color w:val="2D2D2D"/>
          <w:sz w:val="22"/>
          <w:szCs w:val="22"/>
          <w:lang w:val="es-ES"/>
        </w:rPr>
        <w:t>Agricultura de precisión. </w:t>
      </w:r>
      <w:r w:rsidRPr="000C0071">
        <w:rPr>
          <w:rFonts w:ascii="Arial" w:hAnsi="Arial" w:cs="Arial"/>
          <w:color w:val="2D2D2D"/>
          <w:sz w:val="22"/>
          <w:szCs w:val="22"/>
          <w:lang w:val="es-ES"/>
        </w:rPr>
        <w:t>La solución ofrece un posicionamiento rápido, consistente y preciso a cualquier hora del día o de la noche para la preparación del suelo, la siembra, el esparcimiento, la pulverización y la cosecha.</w:t>
      </w:r>
    </w:p>
    <w:p w14:paraId="48366B15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proofErr w:type="spellStart"/>
      <w:r w:rsidRPr="000C0071">
        <w:rPr>
          <w:rStyle w:val="Strong"/>
          <w:rFonts w:ascii="Arial" w:hAnsi="Arial" w:cs="Arial"/>
          <w:b w:val="0"/>
          <w:bCs w:val="0"/>
          <w:color w:val="2D2D2D"/>
          <w:sz w:val="22"/>
          <w:szCs w:val="22"/>
          <w:lang w:val="es-ES"/>
        </w:rPr>
        <w:t>OEMs</w:t>
      </w:r>
      <w:proofErr w:type="spellEnd"/>
      <w:r w:rsidRPr="000C0071">
        <w:rPr>
          <w:rStyle w:val="Strong"/>
          <w:rFonts w:ascii="Arial" w:hAnsi="Arial" w:cs="Arial"/>
          <w:b w:val="0"/>
          <w:bCs w:val="0"/>
          <w:color w:val="2D2D2D"/>
          <w:sz w:val="22"/>
          <w:szCs w:val="22"/>
          <w:lang w:val="es-ES"/>
        </w:rPr>
        <w:t>, Integradores de sistemas, Diseñadores de productos. </w:t>
      </w:r>
      <w:r w:rsidRPr="000C0071">
        <w:rPr>
          <w:rFonts w:ascii="Arial" w:hAnsi="Arial" w:cs="Arial"/>
          <w:color w:val="2D2D2D"/>
          <w:sz w:val="22"/>
          <w:szCs w:val="22"/>
          <w:lang w:val="es-ES"/>
        </w:rPr>
        <w:t>La solución ofrece un posicionamiento preciso y escalable y admite la implantación de modelos de negocio flexibles adaptados a las necesidades tanto de los fabricantes de los equipos como de sus clientes.</w:t>
      </w:r>
    </w:p>
    <w:p w14:paraId="6AB6E31C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C0071">
        <w:rPr>
          <w:rFonts w:ascii="Arial" w:hAnsi="Arial" w:cs="Arial"/>
          <w:color w:val="2D2D2D"/>
          <w:sz w:val="22"/>
          <w:szCs w:val="22"/>
          <w:lang w:val="es-ES"/>
        </w:rPr>
        <w:t>Para obtener más información, visite: </w:t>
      </w:r>
      <w:hyperlink r:id="rId6" w:history="1">
        <w:r w:rsidRPr="000C0071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topconpositioning.com/</w:t>
        </w:r>
        <w:proofErr w:type="spellStart"/>
        <w:r w:rsidRPr="000C0071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topnetlive</w:t>
        </w:r>
        <w:proofErr w:type="spellEnd"/>
      </w:hyperlink>
      <w:r w:rsidRPr="000C0071">
        <w:rPr>
          <w:rFonts w:ascii="Arial" w:hAnsi="Arial" w:cs="Arial"/>
          <w:color w:val="2D2D2D"/>
          <w:sz w:val="22"/>
          <w:szCs w:val="22"/>
          <w:lang w:val="es-ES"/>
        </w:rPr>
        <w:t>. </w:t>
      </w:r>
    </w:p>
    <w:p w14:paraId="0533AB40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C0071">
        <w:rPr>
          <w:rFonts w:ascii="Arial" w:hAnsi="Arial" w:cs="Arial"/>
          <w:color w:val="2D2D2D"/>
          <w:sz w:val="22"/>
          <w:szCs w:val="22"/>
          <w:lang w:val="es-ES"/>
        </w:rPr>
        <w:lastRenderedPageBreak/>
        <w:t>La información de los fabricantes originales se incluye en </w:t>
      </w:r>
      <w:hyperlink r:id="rId7" w:history="1">
        <w:r w:rsidRPr="000C0071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topconpositioning.com/OEM</w:t>
        </w:r>
      </w:hyperlink>
      <w:r w:rsidRPr="000C0071">
        <w:rPr>
          <w:rFonts w:ascii="Arial" w:hAnsi="Arial" w:cs="Arial"/>
          <w:color w:val="2D2D2D"/>
          <w:sz w:val="22"/>
          <w:szCs w:val="22"/>
          <w:lang w:val="es-ES"/>
        </w:rPr>
        <w:t>.</w:t>
      </w:r>
    </w:p>
    <w:p w14:paraId="2A3D7651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  <w:lang w:val="es-ES"/>
        </w:rPr>
      </w:pPr>
      <w:r w:rsidRPr="000C0071">
        <w:rPr>
          <w:rStyle w:val="Strong"/>
          <w:rFonts w:ascii="Arial" w:hAnsi="Arial" w:cs="Arial"/>
          <w:color w:val="2D2D2D"/>
          <w:sz w:val="16"/>
          <w:szCs w:val="16"/>
          <w:lang w:val="es-ES"/>
        </w:rPr>
        <w:t xml:space="preserve">Acerca de Topcon </w:t>
      </w:r>
      <w:proofErr w:type="spellStart"/>
      <w:r w:rsidRPr="000C0071">
        <w:rPr>
          <w:rStyle w:val="Strong"/>
          <w:rFonts w:ascii="Arial" w:hAnsi="Arial" w:cs="Arial"/>
          <w:color w:val="2D2D2D"/>
          <w:sz w:val="16"/>
          <w:szCs w:val="16"/>
          <w:lang w:val="es-ES"/>
        </w:rPr>
        <w:t>Positioning</w:t>
      </w:r>
      <w:proofErr w:type="spellEnd"/>
      <w:r w:rsidRPr="000C0071">
        <w:rPr>
          <w:rStyle w:val="Strong"/>
          <w:rFonts w:ascii="Arial" w:hAnsi="Arial" w:cs="Arial"/>
          <w:color w:val="2D2D2D"/>
          <w:sz w:val="16"/>
          <w:szCs w:val="16"/>
          <w:lang w:val="es-ES"/>
        </w:rPr>
        <w:t xml:space="preserve"> </w:t>
      </w:r>
      <w:proofErr w:type="spellStart"/>
      <w:r w:rsidRPr="000C0071">
        <w:rPr>
          <w:rStyle w:val="Strong"/>
          <w:rFonts w:ascii="Arial" w:hAnsi="Arial" w:cs="Arial"/>
          <w:color w:val="2D2D2D"/>
          <w:sz w:val="16"/>
          <w:szCs w:val="16"/>
          <w:lang w:val="es-ES"/>
        </w:rPr>
        <w:t>Group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br/>
        <w:t xml:space="preserve">Topcon </w:t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Positioning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 </w:t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Group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, empresa puntera en tecnología y ventajas para el cliente, es uno de los principales diseñadores, fabricantes y distribuidores del sector que suministra soluciones de flujo de trabajo y precisión en la medición para los mercados mundiales de los ámbitos de la construcción, geoespacial y agrícola. Topcon </w:t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Positioning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 </w:t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Group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 tiene su sede en Livermore, California, Estados Unidos (</w:t>
      </w:r>
      <w:hyperlink r:id="rId8" w:history="1">
        <w:r w:rsidRPr="000C0071">
          <w:rPr>
            <w:rStyle w:val="Hyperlink"/>
            <w:rFonts w:ascii="Arial" w:hAnsi="Arial" w:cs="Arial"/>
            <w:color w:val="0A8CFA"/>
            <w:sz w:val="16"/>
            <w:szCs w:val="16"/>
            <w:lang w:val="es-ES"/>
          </w:rPr>
          <w:t>topconpositioning.com</w:t>
        </w:r>
      </w:hyperlink>
      <w:r w:rsidRPr="000C0071">
        <w:rPr>
          <w:rFonts w:ascii="Arial" w:hAnsi="Arial" w:cs="Arial"/>
          <w:color w:val="2D2D2D"/>
          <w:sz w:val="16"/>
          <w:szCs w:val="16"/>
          <w:lang w:val="es-ES"/>
        </w:rPr>
        <w:t>, </w:t>
      </w:r>
      <w:hyperlink r:id="rId9" w:history="1">
        <w:r w:rsidRPr="000C0071">
          <w:rPr>
            <w:rStyle w:val="Hyperlink"/>
            <w:rFonts w:ascii="Arial" w:hAnsi="Arial" w:cs="Arial"/>
            <w:color w:val="0A8CFA"/>
            <w:sz w:val="16"/>
            <w:szCs w:val="16"/>
            <w:lang w:val="es-ES"/>
          </w:rPr>
          <w:t>LinkedIn</w:t>
        </w:r>
      </w:hyperlink>
      <w:r w:rsidRPr="000C0071">
        <w:rPr>
          <w:rFonts w:ascii="Arial" w:hAnsi="Arial" w:cs="Arial"/>
          <w:color w:val="2D2D2D"/>
          <w:sz w:val="16"/>
          <w:szCs w:val="16"/>
          <w:lang w:val="es-ES"/>
        </w:rPr>
        <w:t>, </w:t>
      </w:r>
      <w:hyperlink r:id="rId10" w:history="1">
        <w:r w:rsidRPr="000C0071">
          <w:rPr>
            <w:rStyle w:val="Hyperlink"/>
            <w:rFonts w:ascii="Arial" w:hAnsi="Arial" w:cs="Arial"/>
            <w:color w:val="0A8CFA"/>
            <w:sz w:val="16"/>
            <w:szCs w:val="16"/>
            <w:lang w:val="es-ES"/>
          </w:rPr>
          <w:t>Twitter</w:t>
        </w:r>
      </w:hyperlink>
      <w:r w:rsidRPr="000C0071">
        <w:rPr>
          <w:rFonts w:ascii="Arial" w:hAnsi="Arial" w:cs="Arial"/>
          <w:color w:val="2D2D2D"/>
          <w:sz w:val="16"/>
          <w:szCs w:val="16"/>
          <w:lang w:val="es-ES"/>
        </w:rPr>
        <w:t>, </w:t>
      </w:r>
      <w:hyperlink r:id="rId11" w:history="1">
        <w:r w:rsidRPr="000C0071">
          <w:rPr>
            <w:rStyle w:val="Hyperlink"/>
            <w:rFonts w:ascii="Arial" w:hAnsi="Arial" w:cs="Arial"/>
            <w:color w:val="0A8CFA"/>
            <w:sz w:val="16"/>
            <w:szCs w:val="16"/>
            <w:lang w:val="es-ES"/>
          </w:rPr>
          <w:t>Facebook</w:t>
        </w:r>
      </w:hyperlink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). Su oficina principal en Europa se encuentra en Capelle a/d </w:t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IJssel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, Países Bajos. Topcon </w:t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Corporation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 (</w:t>
      </w:r>
      <w:hyperlink r:id="rId12" w:history="1">
        <w:r w:rsidRPr="000C0071">
          <w:rPr>
            <w:rStyle w:val="Hyperlink"/>
            <w:rFonts w:ascii="Arial" w:hAnsi="Arial" w:cs="Arial"/>
            <w:color w:val="0A8CFA"/>
            <w:sz w:val="16"/>
            <w:szCs w:val="16"/>
            <w:lang w:val="es-ES"/>
          </w:rPr>
          <w:t>topcon.com</w:t>
        </w:r>
      </w:hyperlink>
      <w:r w:rsidRPr="000C0071">
        <w:rPr>
          <w:rFonts w:ascii="Arial" w:hAnsi="Arial" w:cs="Arial"/>
          <w:color w:val="2D2D2D"/>
          <w:sz w:val="16"/>
          <w:szCs w:val="16"/>
          <w:lang w:val="es-ES"/>
        </w:rPr>
        <w:t>) se fundó en 1932, y cotiza en la Bolsa de Valores de Tokio (7732).</w:t>
      </w:r>
    </w:p>
    <w:p w14:paraId="12F0C085" w14:textId="77777777" w:rsidR="000C0071" w:rsidRPr="000C0071" w:rsidRDefault="000C0071" w:rsidP="000C0071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6"/>
          <w:szCs w:val="16"/>
          <w:lang w:val="es-ES"/>
        </w:rPr>
      </w:pPr>
      <w:r w:rsidRPr="000C0071">
        <w:rPr>
          <w:rFonts w:ascii="Arial" w:hAnsi="Arial" w:cs="Arial"/>
          <w:color w:val="2D2D2D"/>
          <w:sz w:val="16"/>
          <w:szCs w:val="16"/>
          <w:lang w:val="es-ES"/>
        </w:rPr>
        <w:t># # #</w:t>
      </w:r>
      <w:r w:rsidRPr="000C0071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  <w:lang w:val="es-ES"/>
        </w:rPr>
        <w:t> </w:t>
      </w:r>
    </w:p>
    <w:p w14:paraId="14F39803" w14:textId="77777777" w:rsidR="000C0071" w:rsidRPr="000C0071" w:rsidRDefault="000C0071" w:rsidP="000C0071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  <w:lang w:val="es-ES"/>
        </w:rPr>
      </w:pPr>
      <w:r w:rsidRPr="000C0071">
        <w:rPr>
          <w:rStyle w:val="Strong"/>
          <w:rFonts w:ascii="Arial" w:hAnsi="Arial" w:cs="Arial"/>
          <w:color w:val="2D2D2D"/>
          <w:sz w:val="16"/>
          <w:szCs w:val="16"/>
          <w:lang w:val="es-ES"/>
        </w:rPr>
        <w:t>Contacto para la prensa</w:t>
      </w:r>
      <w:r w:rsidRPr="000C0071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  <w:lang w:val="es-ES"/>
        </w:rPr>
        <w:t>:</w:t>
      </w:r>
      <w:r w:rsidRPr="000C0071">
        <w:rPr>
          <w:rFonts w:ascii="Arial" w:hAnsi="Arial" w:cs="Arial"/>
          <w:color w:val="2D2D2D"/>
          <w:sz w:val="16"/>
          <w:szCs w:val="16"/>
          <w:lang w:val="es-ES"/>
        </w:rPr>
        <w:br/>
        <w:t xml:space="preserve">Topcon </w:t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Positioning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 </w:t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Group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br/>
      </w:r>
      <w:hyperlink r:id="rId13" w:history="1">
        <w:r w:rsidRPr="000C0071">
          <w:rPr>
            <w:rStyle w:val="Hyperlink"/>
            <w:rFonts w:ascii="Arial" w:hAnsi="Arial" w:cs="Arial"/>
            <w:color w:val="0A8CFA"/>
            <w:sz w:val="16"/>
            <w:szCs w:val="16"/>
            <w:lang w:val="es-ES"/>
          </w:rPr>
          <w:t>corpcomm@topcon.com</w:t>
        </w:r>
      </w:hyperlink>
      <w:r w:rsidRPr="000C0071">
        <w:rPr>
          <w:rFonts w:ascii="Arial" w:hAnsi="Arial" w:cs="Arial"/>
          <w:color w:val="2D2D2D"/>
          <w:sz w:val="16"/>
          <w:szCs w:val="16"/>
          <w:lang w:val="es-ES"/>
        </w:rPr>
        <w:br/>
      </w:r>
      <w:proofErr w:type="spellStart"/>
      <w:r w:rsidRPr="000C0071">
        <w:rPr>
          <w:rFonts w:ascii="Arial" w:hAnsi="Arial" w:cs="Arial"/>
          <w:color w:val="2D2D2D"/>
          <w:sz w:val="16"/>
          <w:szCs w:val="16"/>
          <w:lang w:val="es-ES"/>
        </w:rPr>
        <w:t>Staci</w:t>
      </w:r>
      <w:proofErr w:type="spellEnd"/>
      <w:r w:rsidRPr="000C0071">
        <w:rPr>
          <w:rFonts w:ascii="Arial" w:hAnsi="Arial" w:cs="Arial"/>
          <w:color w:val="2D2D2D"/>
          <w:sz w:val="16"/>
          <w:szCs w:val="16"/>
          <w:lang w:val="es-ES"/>
        </w:rPr>
        <w:t xml:space="preserve"> Fitzgerald, +1 925-245-8610</w:t>
      </w:r>
    </w:p>
    <w:p w14:paraId="601B57D2" w14:textId="77777777" w:rsidR="000C0071" w:rsidRPr="000C0071" w:rsidRDefault="000C0071" w:rsidP="000C0071">
      <w:pPr>
        <w:rPr>
          <w:rFonts w:ascii="Times New Roman" w:hAnsi="Times New Roman" w:cs="Times New Roman"/>
          <w:sz w:val="22"/>
          <w:szCs w:val="22"/>
          <w:lang w:val="es-ES"/>
        </w:rPr>
      </w:pPr>
    </w:p>
    <w:p w14:paraId="22B0E06B" w14:textId="77777777" w:rsidR="000C0071" w:rsidRPr="000C0071" w:rsidRDefault="000C0071" w:rsidP="00FC40E0">
      <w:pPr>
        <w:rPr>
          <w:rFonts w:cs="Arial"/>
          <w:b/>
          <w:sz w:val="22"/>
          <w:szCs w:val="22"/>
          <w:lang w:val="es-ES"/>
        </w:rPr>
      </w:pPr>
    </w:p>
    <w:sectPr w:rsidR="000C0071" w:rsidRPr="000C0071" w:rsidSect="004F3CA2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57089" w14:textId="77777777" w:rsidR="00EB5A71" w:rsidRDefault="00EB5A71" w:rsidP="00FC40E0">
      <w:r>
        <w:separator/>
      </w:r>
    </w:p>
  </w:endnote>
  <w:endnote w:type="continuationSeparator" w:id="0">
    <w:p w14:paraId="00160124" w14:textId="77777777" w:rsidR="00EB5A71" w:rsidRDefault="00EB5A71" w:rsidP="00FC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00A4" w14:textId="77777777" w:rsidR="004F3CA2" w:rsidRDefault="004F3CA2" w:rsidP="004A6B78">
    <w:pPr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8092" w14:textId="77777777" w:rsidR="00EB5A71" w:rsidRDefault="00EB5A71" w:rsidP="00FC40E0">
      <w:r>
        <w:separator/>
      </w:r>
    </w:p>
  </w:footnote>
  <w:footnote w:type="continuationSeparator" w:id="0">
    <w:p w14:paraId="2388D8A0" w14:textId="77777777" w:rsidR="00EB5A71" w:rsidRDefault="00EB5A71" w:rsidP="00FC4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5C4F" w14:textId="77777777" w:rsidR="00FC40E0" w:rsidRDefault="00083167" w:rsidP="007A62A1">
    <w:pPr>
      <w:pStyle w:val="Header"/>
      <w:tabs>
        <w:tab w:val="clear" w:pos="93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54C21F2C" wp14:editId="3632B007">
          <wp:simplePos x="0" y="0"/>
          <wp:positionH relativeFrom="column">
            <wp:posOffset>-260350</wp:posOffset>
          </wp:positionH>
          <wp:positionV relativeFrom="paragraph">
            <wp:posOffset>-203835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E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97DC9A" wp14:editId="49F6D48A">
              <wp:simplePos x="0" y="0"/>
              <wp:positionH relativeFrom="column">
                <wp:posOffset>4318000</wp:posOffset>
              </wp:positionH>
              <wp:positionV relativeFrom="paragraph">
                <wp:posOffset>-259080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F19656" w14:textId="77777777" w:rsidR="00FC40E0" w:rsidRPr="00FC40E0" w:rsidRDefault="00FC40E0" w:rsidP="008850D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7DC9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0pt;margin-top:-20.4pt;width:153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IvkCCfkAAAADgEAAA8AAAAAAAAAAAAAAAAAbwQAAGRycy9kb3ducmV2LnhtbFBL&#13;&#10;BQYAAAAABAAEAPMAAACABQAAAAA=&#13;&#10;" filled="f" stroked="f" strokeweight=".5pt">
              <v:textbox>
                <w:txbxContent>
                  <w:p w14:paraId="27F19656" w14:textId="77777777" w:rsidR="00FC40E0" w:rsidRPr="00FC40E0" w:rsidRDefault="00FC40E0" w:rsidP="008850D5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 w:rsidR="00FC40E0" w:rsidRPr="00FC40E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448EBF" wp14:editId="6A24FC57">
              <wp:simplePos x="0" y="0"/>
              <wp:positionH relativeFrom="column">
                <wp:posOffset>-908050</wp:posOffset>
              </wp:positionH>
              <wp:positionV relativeFrom="paragraph">
                <wp:posOffset>-463550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91A978" id="Rectangle 6" o:spid="_x0000_s1026" style="position:absolute;margin-left:-71.5pt;margin-top:-36.5pt;width:610.5pt;height:5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" fillcolor="#f4f4f4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E9"/>
    <w:rsid w:val="00083167"/>
    <w:rsid w:val="000C0071"/>
    <w:rsid w:val="000C2EAC"/>
    <w:rsid w:val="000D7DE2"/>
    <w:rsid w:val="001144C2"/>
    <w:rsid w:val="001F0EE9"/>
    <w:rsid w:val="001F5189"/>
    <w:rsid w:val="00287024"/>
    <w:rsid w:val="00323434"/>
    <w:rsid w:val="003F5B9B"/>
    <w:rsid w:val="004A6B78"/>
    <w:rsid w:val="004F3CA2"/>
    <w:rsid w:val="00622BF1"/>
    <w:rsid w:val="00703EBE"/>
    <w:rsid w:val="00724214"/>
    <w:rsid w:val="007408B3"/>
    <w:rsid w:val="007A62A1"/>
    <w:rsid w:val="008175BE"/>
    <w:rsid w:val="008850D5"/>
    <w:rsid w:val="00917570"/>
    <w:rsid w:val="009216C2"/>
    <w:rsid w:val="00926E65"/>
    <w:rsid w:val="00930517"/>
    <w:rsid w:val="00980EAF"/>
    <w:rsid w:val="00AF24E3"/>
    <w:rsid w:val="00B923E1"/>
    <w:rsid w:val="00CD5A90"/>
    <w:rsid w:val="00E10095"/>
    <w:rsid w:val="00E42062"/>
    <w:rsid w:val="00EB5A71"/>
    <w:rsid w:val="00F57125"/>
    <w:rsid w:val="00FC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9BC947"/>
  <w15:chartTrackingRefBased/>
  <w15:docId w15:val="{233375BF-6801-D940-A2BD-5C376E39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EE9"/>
    <w:pPr>
      <w:spacing w:after="0" w:line="240" w:lineRule="auto"/>
    </w:pPr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0E0"/>
    <w:pPr>
      <w:tabs>
        <w:tab w:val="center" w:pos="4680"/>
        <w:tab w:val="right" w:pos="9360"/>
      </w:tabs>
    </w:pPr>
    <w:rPr>
      <w:rFonts w:ascii="Arial" w:hAnsi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C40E0"/>
  </w:style>
  <w:style w:type="paragraph" w:styleId="Footer">
    <w:name w:val="footer"/>
    <w:basedOn w:val="Normal"/>
    <w:link w:val="FooterChar"/>
    <w:uiPriority w:val="99"/>
    <w:unhideWhenUsed/>
    <w:rsid w:val="00FC40E0"/>
    <w:pPr>
      <w:tabs>
        <w:tab w:val="center" w:pos="4680"/>
        <w:tab w:val="right" w:pos="9360"/>
      </w:tabs>
    </w:pPr>
    <w:rPr>
      <w:rFonts w:ascii="Arial" w:hAnsi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C40E0"/>
  </w:style>
  <w:style w:type="character" w:styleId="Hyperlink">
    <w:name w:val="Hyperlink"/>
    <w:basedOn w:val="DefaultParagraphFont"/>
    <w:uiPriority w:val="99"/>
    <w:unhideWhenUsed/>
    <w:rsid w:val="007A62A1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A62A1"/>
    <w:rPr>
      <w:b/>
      <w:bCs/>
    </w:rPr>
  </w:style>
  <w:style w:type="paragraph" w:styleId="NoSpacing">
    <w:name w:val="No Spacing"/>
    <w:uiPriority w:val="1"/>
    <w:qFormat/>
    <w:rsid w:val="000D7DE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D7D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343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C00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0C0071"/>
    <w:rPr>
      <w:i/>
      <w:iCs/>
    </w:rPr>
  </w:style>
  <w:style w:type="character" w:customStyle="1" w:styleId="apple-converted-space">
    <w:name w:val="apple-converted-space"/>
    <w:basedOn w:val="DefaultParagraphFont"/>
    <w:rsid w:val="000C0071"/>
  </w:style>
  <w:style w:type="paragraph" w:customStyle="1" w:styleId="rtecenter">
    <w:name w:val="rtecenter"/>
    <w:basedOn w:val="Normal"/>
    <w:rsid w:val="000C00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hyperlink" Target="mailto:corpcomm@topcon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opconpositioning.com/OEM" TargetMode="External"/><Relationship Id="rId12" Type="http://schemas.openxmlformats.org/officeDocument/2006/relationships/hyperlink" Target="http://global.topcon.com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topconpositioning.com/enterprise-services-and-subscriptions/gnss-correction-services/topnet-live" TargetMode="External"/><Relationship Id="rId11" Type="http://schemas.openxmlformats.org/officeDocument/2006/relationships/hyperlink" Target="https://www.facebook.com/TopconToday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twitter.com/topcon_toda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nkedin.com/company/topcon-positioning-system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taci/Downloads/PressRelease_Templates030420%5b22%5d/PressRelease_e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PressRelease_eng.dotx</Template>
  <TotalTime>2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Staci Fitzgerald</cp:lastModifiedBy>
  <cp:revision>2</cp:revision>
  <dcterms:created xsi:type="dcterms:W3CDTF">2023-06-30T17:35:00Z</dcterms:created>
  <dcterms:modified xsi:type="dcterms:W3CDTF">2023-06-30T17:35:00Z</dcterms:modified>
</cp:coreProperties>
</file>